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jc w:val="center"/>
        <w:rPr>
          <w:sz w:val="52"/>
          <w:szCs w:val="52"/>
        </w:rPr>
      </w:pPr>
      <w:r>
        <w:rPr>
          <w:rFonts w:hint="eastAsia"/>
          <w:color w:val="auto"/>
          <w:sz w:val="52"/>
          <w:szCs w:val="52"/>
          <w:lang w:val="en-US" w:eastAsia="zh-CN"/>
        </w:rPr>
        <w:t>2022</w:t>
      </w:r>
      <w:r>
        <w:rPr>
          <w:rFonts w:hint="eastAsia"/>
          <w:sz w:val="52"/>
          <w:szCs w:val="52"/>
        </w:rPr>
        <w:t>年</w:t>
      </w:r>
      <w:r>
        <w:rPr>
          <w:rFonts w:hint="eastAsia"/>
          <w:sz w:val="52"/>
          <w:szCs w:val="52"/>
          <w:lang w:eastAsia="zh-CN"/>
        </w:rPr>
        <w:t>海口市卫生健康服务中心单位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lang w:eastAsia="zh-CN"/>
        </w:rPr>
        <w:t>海口市卫生健康服务中心</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预算单位</w:t>
      </w:r>
      <w:r>
        <w:rPr>
          <w:rFonts w:hint="eastAsia" w:ascii="黑体" w:hAnsi="黑体" w:eastAsia="黑体"/>
          <w:sz w:val="32"/>
          <w:szCs w:val="32"/>
          <w:lang w:eastAsia="zh-CN"/>
        </w:rPr>
        <w:t>机</w:t>
      </w:r>
      <w:r>
        <w:rPr>
          <w:rFonts w:hint="eastAsia" w:ascii="黑体" w:hAnsi="黑体" w:eastAsia="黑体"/>
          <w:sz w:val="32"/>
          <w:szCs w:val="32"/>
        </w:rPr>
        <w:t>构</w:t>
      </w:r>
      <w:r>
        <w:rPr>
          <w:rFonts w:hint="eastAsia" w:ascii="黑体" w:hAnsi="黑体" w:eastAsia="黑体"/>
          <w:sz w:val="32"/>
          <w:szCs w:val="32"/>
          <w:lang w:eastAsia="zh-CN"/>
        </w:rPr>
        <w:t>设置情况</w:t>
      </w:r>
    </w:p>
    <w:p>
      <w:pPr>
        <w:pStyle w:val="4"/>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海口市卫生健康服务中心</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2022年度</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海口市卫生健康服务中心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pPr>
      <w:r>
        <w:rPr>
          <w:rFonts w:hint="eastAsia" w:ascii="黑体" w:hAnsi="黑体" w:eastAsia="黑体" w:cs="仿宋_GB2312"/>
          <w:sz w:val="32"/>
          <w:szCs w:val="32"/>
        </w:rPr>
        <w:t>主要职能</w:t>
      </w:r>
    </w:p>
    <w:p>
      <w:pPr>
        <w:pStyle w:val="4"/>
        <w:numPr>
          <w:ilvl w:val="0"/>
          <w:numId w:val="0"/>
        </w:numPr>
        <w:ind w:leftChars="0"/>
        <w:jc w:val="left"/>
      </w:pPr>
      <w:r>
        <w:rPr>
          <w:rFonts w:ascii="仿宋_GB2312" w:hAnsi="仿宋_GB2312" w:eastAsia="仿宋_GB2312" w:cs="仿宋_GB2312"/>
          <w:color w:val="000000"/>
          <w:kern w:val="0"/>
          <w:sz w:val="31"/>
          <w:szCs w:val="31"/>
          <w:lang w:val="en-US" w:eastAsia="zh-CN" w:bidi="ar"/>
        </w:rPr>
        <w:t>（一）贯彻执行《中华人民共和国人口与计划生育法》</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《计划生育技术服务管理条例》等法律、法规。</w:t>
      </w:r>
    </w:p>
    <w:p>
      <w:pPr>
        <w:keepNext w:val="0"/>
        <w:keepLines w:val="0"/>
        <w:widowControl/>
        <w:numPr>
          <w:ilvl w:val="0"/>
          <w:numId w:val="6"/>
        </w:numPr>
        <w:suppressLineNumbers w:val="0"/>
        <w:jc w:val="left"/>
        <w:rPr>
          <w:rFonts w:hint="eastAsia"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组织开展计划生育健康宣传、咨询及计划生育药具管理</w:t>
      </w:r>
      <w:r>
        <w:rPr>
          <w:rFonts w:hint="eastAsia" w:ascii="仿宋_GB2312" w:hAnsi="仿宋_GB2312" w:eastAsia="仿宋_GB2312" w:cs="仿宋_GB2312"/>
          <w:color w:val="000000"/>
          <w:kern w:val="0"/>
          <w:sz w:val="31"/>
          <w:szCs w:val="31"/>
          <w:lang w:val="en-US" w:eastAsia="zh-CN" w:bidi="ar"/>
        </w:rPr>
        <w:t>工作。</w:t>
      </w:r>
    </w:p>
    <w:p>
      <w:pPr>
        <w:keepNext w:val="0"/>
        <w:keepLines w:val="0"/>
        <w:widowControl/>
        <w:numPr>
          <w:ilvl w:val="0"/>
          <w:numId w:val="0"/>
        </w:numPr>
        <w:suppressLineNumbers w:val="0"/>
        <w:jc w:val="left"/>
      </w:pPr>
      <w:r>
        <w:rPr>
          <w:rFonts w:ascii="仿宋_GB2312" w:hAnsi="仿宋_GB2312" w:eastAsia="仿宋_GB2312" w:cs="仿宋_GB2312"/>
          <w:color w:val="000000"/>
          <w:kern w:val="0"/>
          <w:sz w:val="31"/>
          <w:szCs w:val="31"/>
          <w:lang w:val="en-US" w:eastAsia="zh-CN" w:bidi="ar"/>
        </w:rPr>
        <w:t>（三）配合做好病残儿鉴定、计划生育手术并发症鉴定及</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妇幼卫生公共服务工作。</w:t>
      </w:r>
    </w:p>
    <w:p>
      <w:pPr>
        <w:keepNext w:val="0"/>
        <w:keepLines w:val="0"/>
        <w:widowControl/>
        <w:numPr>
          <w:ilvl w:val="0"/>
          <w:numId w:val="0"/>
        </w:numPr>
        <w:suppressLineNumbers w:val="0"/>
        <w:ind w:leftChars="0"/>
        <w:jc w:val="left"/>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（四）</w:t>
      </w:r>
      <w:r>
        <w:rPr>
          <w:rFonts w:ascii="仿宋_GB2312" w:hAnsi="仿宋_GB2312" w:eastAsia="仿宋_GB2312" w:cs="仿宋_GB2312"/>
          <w:color w:val="000000"/>
          <w:kern w:val="0"/>
          <w:sz w:val="31"/>
          <w:szCs w:val="31"/>
          <w:lang w:val="en-US" w:eastAsia="zh-CN" w:bidi="ar"/>
        </w:rPr>
        <w:t xml:space="preserve">指导区级卫生健康服务中心开展工作。 </w:t>
      </w:r>
    </w:p>
    <w:p>
      <w:pPr>
        <w:keepNext w:val="0"/>
        <w:keepLines w:val="0"/>
        <w:widowControl/>
        <w:numPr>
          <w:ilvl w:val="0"/>
          <w:numId w:val="0"/>
        </w:numPr>
        <w:suppressLineNumbers w:val="0"/>
        <w:ind w:leftChars="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（五）开展基本医疗、基本公共卫生服务，落实国家基本药物制度。</w:t>
      </w:r>
    </w:p>
    <w:p>
      <w:pPr>
        <w:keepNext w:val="0"/>
        <w:keepLines w:val="0"/>
        <w:widowControl/>
        <w:numPr>
          <w:ilvl w:val="0"/>
          <w:numId w:val="0"/>
        </w:numPr>
        <w:suppressLineNumbers w:val="0"/>
        <w:ind w:leftChars="0"/>
        <w:jc w:val="left"/>
      </w:pPr>
      <w:r>
        <w:rPr>
          <w:rFonts w:ascii="仿宋_GB2312" w:hAnsi="仿宋_GB2312" w:eastAsia="仿宋_GB2312" w:cs="仿宋_GB2312"/>
          <w:color w:val="000000"/>
          <w:kern w:val="0"/>
          <w:sz w:val="31"/>
          <w:szCs w:val="31"/>
          <w:lang w:val="en-US" w:eastAsia="zh-CN" w:bidi="ar"/>
        </w:rPr>
        <w:t>（六）协助开展全市国家基本公共卫生服务项目（家庭医生签约服务）规划管理、技术指导、业务培训、宣传教育、信息收集分析、督导检查和考核评估等工作。</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（七）协助组织实施对基层医疗机构的周期性评价工作，</w:t>
      </w:r>
    </w:p>
    <w:p>
      <w:pPr>
        <w:keepNext w:val="0"/>
        <w:keepLines w:val="0"/>
        <w:widowControl/>
        <w:suppressLineNumbers w:val="0"/>
        <w:jc w:val="left"/>
        <w:rPr>
          <w:rFonts w:ascii="仿宋_GB2312" w:hAnsi="黑体" w:eastAsia="仿宋_GB2312" w:cs="仿宋_GB2312"/>
          <w:sz w:val="32"/>
          <w:szCs w:val="32"/>
        </w:rPr>
      </w:pPr>
      <w:r>
        <w:rPr>
          <w:rFonts w:ascii="仿宋_GB2312" w:hAnsi="仿宋_GB2312" w:eastAsia="仿宋_GB2312" w:cs="仿宋_GB2312"/>
          <w:color w:val="000000"/>
          <w:kern w:val="0"/>
          <w:sz w:val="31"/>
          <w:szCs w:val="31"/>
          <w:lang w:val="en-US" w:eastAsia="zh-CN" w:bidi="ar"/>
        </w:rPr>
        <w:t>对基层医疗机构运行情况进行监测评估和绩效考核。</w:t>
      </w:r>
    </w:p>
    <w:p>
      <w:pPr>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预算单位</w:t>
      </w:r>
      <w:r>
        <w:rPr>
          <w:rFonts w:hint="eastAsia" w:ascii="黑体" w:hAnsi="黑体" w:eastAsia="黑体" w:cs="仿宋_GB2312"/>
          <w:sz w:val="32"/>
          <w:szCs w:val="32"/>
          <w:lang w:eastAsia="zh-CN"/>
        </w:rPr>
        <w:t>机</w:t>
      </w:r>
      <w:r>
        <w:rPr>
          <w:rFonts w:hint="eastAsia" w:ascii="黑体" w:hAnsi="黑体" w:eastAsia="黑体" w:cs="仿宋_GB2312"/>
          <w:sz w:val="32"/>
          <w:szCs w:val="32"/>
        </w:rPr>
        <w:t>构</w:t>
      </w:r>
      <w:r>
        <w:rPr>
          <w:rFonts w:hint="eastAsia" w:ascii="黑体" w:hAnsi="黑体" w:eastAsia="黑体" w:cs="仿宋_GB2312"/>
          <w:sz w:val="32"/>
          <w:szCs w:val="32"/>
          <w:lang w:eastAsia="zh-CN"/>
        </w:rPr>
        <w:t>设置情况</w:t>
      </w:r>
    </w:p>
    <w:p>
      <w:pPr>
        <w:ind w:firstLine="640" w:firstLineChars="200"/>
        <w:jc w:val="left"/>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海口市卫生健康服务中心,为隶属海口市卫生健康委员会的正科级公益一类事业单位,无下设机构。 核定海口市卫生健康服务中心财政预算管理事业编制18名。其中：单位领导职数了名（主任1名、正科级，副主任2名、副科级），其他管理和专业技术岗位 15个。</w:t>
      </w:r>
    </w:p>
    <w:p>
      <w:pPr>
        <w:ind w:firstLine="640" w:firstLineChars="200"/>
        <w:rPr>
          <w:rFonts w:hint="eastAsia" w:ascii="仿宋" w:hAnsi="仿宋" w:eastAsia="仿宋" w:cs="仿宋"/>
          <w:sz w:val="32"/>
          <w:szCs w:val="32"/>
          <w:lang w:eastAsia="zh-CN"/>
        </w:rPr>
      </w:pPr>
      <w:r>
        <w:rPr>
          <w:rFonts w:hint="eastAsia" w:ascii="仿宋_GB2312" w:hAnsi="ˎ̥" w:eastAsia="仿宋_GB2312"/>
          <w:sz w:val="32"/>
          <w:szCs w:val="32"/>
        </w:rPr>
        <w:t>纳入</w:t>
      </w:r>
      <w:r>
        <w:rPr>
          <w:rFonts w:hint="eastAsia" w:ascii="仿宋_GB2312" w:hAnsi="ˎ̥" w:eastAsia="仿宋_GB2312"/>
          <w:sz w:val="32"/>
          <w:szCs w:val="32"/>
          <w:lang w:eastAsia="zh-CN"/>
        </w:rPr>
        <w:t>海口市卫生健康服务中心202</w:t>
      </w:r>
      <w:r>
        <w:rPr>
          <w:rFonts w:hint="eastAsia" w:ascii="仿宋_GB2312" w:hAnsi="ˎ̥" w:eastAsia="仿宋_GB2312"/>
          <w:sz w:val="32"/>
          <w:szCs w:val="32"/>
          <w:lang w:val="en-US" w:eastAsia="zh-CN"/>
        </w:rPr>
        <w:t>1</w:t>
      </w:r>
      <w:r>
        <w:rPr>
          <w:rFonts w:hint="eastAsia" w:ascii="仿宋_GB2312" w:hAnsi="ˎ̥" w:eastAsia="仿宋_GB2312"/>
          <w:sz w:val="32"/>
          <w:szCs w:val="32"/>
          <w:lang w:eastAsia="zh-CN"/>
        </w:rPr>
        <w:t>年度</w:t>
      </w:r>
      <w:r>
        <w:rPr>
          <w:rFonts w:hint="eastAsia" w:ascii="仿宋_GB2312" w:hAnsi="ˎ̥" w:eastAsia="仿宋_GB2312"/>
          <w:sz w:val="32"/>
          <w:szCs w:val="32"/>
        </w:rPr>
        <w:t>部门决算编制范围</w:t>
      </w:r>
      <w:bookmarkStart w:id="0" w:name="_Toc24421_WPSOffice_Level2"/>
      <w:bookmarkStart w:id="1" w:name="_Toc25738_WPSOffice_Level2"/>
      <w:r>
        <w:rPr>
          <w:rFonts w:hint="eastAsia" w:ascii="仿宋_GB2312" w:hAnsi="ˎ̥" w:eastAsia="仿宋_GB2312"/>
          <w:sz w:val="32"/>
          <w:szCs w:val="32"/>
          <w:lang w:eastAsia="zh-CN"/>
        </w:rPr>
        <w:t>是</w:t>
      </w:r>
      <w:r>
        <w:rPr>
          <w:rFonts w:hint="eastAsia" w:ascii="楷体" w:hAnsi="楷体" w:eastAsia="楷体" w:cs="楷体"/>
          <w:sz w:val="32"/>
          <w:szCs w:val="32"/>
        </w:rPr>
        <w:t>本级</w:t>
      </w:r>
      <w:bookmarkEnd w:id="0"/>
      <w:bookmarkEnd w:id="1"/>
      <w:r>
        <w:rPr>
          <w:rFonts w:hint="eastAsia" w:ascii="楷体" w:hAnsi="楷体" w:eastAsia="楷体" w:cs="楷体"/>
          <w:sz w:val="32"/>
          <w:szCs w:val="32"/>
          <w:lang w:eastAsia="zh-CN"/>
        </w:rPr>
        <w:t>，</w:t>
      </w:r>
      <w:r>
        <w:rPr>
          <w:rFonts w:hint="eastAsia" w:ascii="仿宋" w:hAnsi="仿宋" w:eastAsia="仿宋" w:cs="仿宋"/>
          <w:sz w:val="32"/>
          <w:szCs w:val="32"/>
          <w:lang w:eastAsia="zh-CN"/>
        </w:rPr>
        <w:t>属海口市卫生健康委员会二级预算单位。</w:t>
      </w:r>
    </w:p>
    <w:p>
      <w:pPr>
        <w:jc w:val="left"/>
        <w:rPr>
          <w:rFonts w:hint="eastAsia" w:ascii="方正仿宋_GB2312" w:hAnsi="方正仿宋_GB2312" w:eastAsia="方正仿宋_GB2312" w:cs="方正仿宋_GB2312"/>
          <w:sz w:val="32"/>
          <w:szCs w:val="32"/>
          <w:lang w:val="en-US" w:eastAsia="zh-CN"/>
        </w:rPr>
      </w:pPr>
      <w:bookmarkStart w:id="2" w:name="_GoBack"/>
      <w:bookmarkEnd w:id="2"/>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海口市卫生健康服务中心</w:t>
      </w:r>
      <w:r>
        <w:rPr>
          <w:rFonts w:hint="eastAsia" w:ascii="黑体" w:hAnsi="黑体" w:eastAsia="黑体"/>
          <w:sz w:val="32"/>
          <w:szCs w:val="32"/>
          <w:lang w:val="en-US" w:eastAsia="zh-CN"/>
        </w:rPr>
        <w:t>2022年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海口市卫生健康服务中心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551.88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551.88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551.88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551.88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551.88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社会保障和就业支出54.67万元、卫生健康支出476.83万元、住房保障支出20.39万元、其他支出0万元，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jc w:val="left"/>
        <w:rPr>
          <w:rFonts w:ascii="仿宋_GB2312" w:hAnsi="黑体" w:eastAsia="仿宋_GB2312"/>
          <w:sz w:val="32"/>
          <w:szCs w:val="32"/>
        </w:rPr>
      </w:pP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海口市卫生健康服务中心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551.88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24.71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公共卫生项目增加，用于药具购买等费用。</w:t>
      </w:r>
    </w:p>
    <w:p>
      <w:pPr>
        <w:numPr>
          <w:ilvl w:val="0"/>
          <w:numId w:val="0"/>
        </w:numPr>
        <w:ind w:leftChars="0"/>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一般公共预算当年拨款结构情况</w:t>
      </w:r>
    </w:p>
    <w:p>
      <w:pPr>
        <w:numPr>
          <w:ilvl w:val="0"/>
          <w:numId w:val="0"/>
        </w:numPr>
        <w:ind w:leftChars="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54.67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9.9</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卫生健康（类）支出476.83万元，占86.4%；住房保障（类）支出20.39万元，占3.70%。</w:t>
      </w:r>
    </w:p>
    <w:p>
      <w:pPr>
        <w:ind w:firstLine="640"/>
        <w:jc w:val="left"/>
        <w:rPr>
          <w:rFonts w:ascii="楷体" w:hAnsi="楷体" w:eastAsia="楷体"/>
          <w:sz w:val="32"/>
          <w:szCs w:val="32"/>
        </w:rPr>
      </w:pP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增加1.95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其他险种基数调整</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增加1.5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其他险种基数调整</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增加0.55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事业单位离退休人员</w:t>
      </w:r>
      <w:r>
        <w:rPr>
          <w:rFonts w:hint="eastAsia" w:ascii="仿宋_GB2312" w:hAnsi="黑体" w:eastAsia="仿宋_GB2312"/>
          <w:sz w:val="32"/>
          <w:szCs w:val="32"/>
          <w:lang w:eastAsia="zh-CN"/>
        </w:rPr>
        <w:t>薪资调整</w:t>
      </w:r>
      <w:r>
        <w:rPr>
          <w:rFonts w:hint="eastAsia" w:ascii="仿宋_GB2312" w:hAnsi="黑体" w:eastAsia="仿宋_GB2312"/>
          <w:sz w:val="32"/>
          <w:szCs w:val="32"/>
          <w:lang w:val="en-US" w:eastAsia="zh-CN"/>
        </w:rPr>
        <w:t>。</w:t>
      </w:r>
    </w:p>
    <w:p>
      <w:pPr>
        <w:ind w:firstLine="640" w:firstLineChars="200"/>
        <w:rPr>
          <w:rFonts w:hint="default" w:ascii="仿宋_GB2312" w:hAnsi="黑体" w:eastAsia="仿宋_GB2312"/>
          <w:sz w:val="32"/>
          <w:szCs w:val="32"/>
          <w:lang w:val="en-US" w:eastAsia="zh-CN"/>
        </w:rPr>
      </w:pP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公共卫生</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基本公共卫生服务</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65</w:t>
      </w:r>
      <w:r>
        <w:rPr>
          <w:rFonts w:hint="eastAsia" w:ascii="仿宋_GB2312" w:hAnsi="黑体" w:eastAsia="仿宋_GB2312"/>
          <w:sz w:val="32"/>
          <w:szCs w:val="32"/>
        </w:rPr>
        <w:t>万元，</w:t>
      </w:r>
      <w:r>
        <w:rPr>
          <w:rFonts w:hint="eastAsia" w:ascii="仿宋_GB2312" w:hAnsi="黑体" w:eastAsia="仿宋_GB2312"/>
          <w:sz w:val="32"/>
          <w:szCs w:val="32"/>
          <w:lang w:eastAsia="zh-CN"/>
        </w:rPr>
        <w:t>新增项目，</w:t>
      </w:r>
      <w:r>
        <w:rPr>
          <w:rFonts w:hint="eastAsia" w:ascii="仿宋_GB2312" w:hAnsi="黑体" w:eastAsia="仿宋_GB2312"/>
          <w:sz w:val="32"/>
          <w:szCs w:val="32"/>
        </w:rPr>
        <w:t>上年</w:t>
      </w:r>
      <w:r>
        <w:rPr>
          <w:rFonts w:hint="eastAsia" w:ascii="仿宋_GB2312" w:hAnsi="黑体" w:eastAsia="仿宋_GB2312"/>
          <w:sz w:val="32"/>
          <w:szCs w:val="32"/>
          <w:lang w:eastAsia="zh-CN"/>
        </w:rPr>
        <w:t>度无此项目，</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市卫生健康服务中心本级药具基本支出。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计划生育事务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其他计划生育事务支出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380.05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48.73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今年一般共公项目“综合事务”预算减少。</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lang w:val="en-US" w:eastAsia="zh-CN"/>
        </w:rPr>
        <w:t>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12.39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增加1.03</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19.39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1.52</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缴费基数调整。</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val="en-US"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20.39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增加1.89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薪资调整基数也相应调整</w:t>
      </w:r>
      <w:r>
        <w:rPr>
          <w:rFonts w:hint="eastAsia" w:ascii="仿宋_GB2312" w:hAnsi="黑体" w:eastAsia="仿宋_GB2312"/>
          <w:sz w:val="32"/>
          <w:szCs w:val="32"/>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海口市卫生健康服务中心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351.88</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322.62</w:t>
      </w:r>
      <w:r>
        <w:rPr>
          <w:rFonts w:hint="eastAsia" w:ascii="仿宋_GB2312" w:hAnsi="黑体" w:eastAsia="仿宋_GB2312"/>
          <w:sz w:val="32"/>
          <w:szCs w:val="32"/>
        </w:rPr>
        <w:t>万元，主要包括：主要包括：基本工资、津贴补贴、奖金、</w:t>
      </w:r>
      <w:r>
        <w:rPr>
          <w:rFonts w:hint="eastAsia" w:ascii="仿宋_GB2312" w:hAnsi="黑体" w:eastAsia="仿宋_GB2312"/>
          <w:sz w:val="32"/>
          <w:szCs w:val="32"/>
          <w:lang w:val="en-US" w:eastAsia="zh-CN"/>
        </w:rPr>
        <w:t>绩效工资、</w:t>
      </w:r>
      <w:r>
        <w:rPr>
          <w:rFonts w:hint="eastAsia" w:ascii="仿宋_GB2312" w:hAnsi="黑体" w:eastAsia="仿宋_GB2312"/>
          <w:sz w:val="32"/>
          <w:szCs w:val="32"/>
        </w:rPr>
        <w:t>社会保障缴费、</w:t>
      </w:r>
      <w:r>
        <w:rPr>
          <w:rFonts w:hint="eastAsia" w:ascii="仿宋_GB2312" w:hAnsi="黑体" w:eastAsia="仿宋_GB2312"/>
          <w:sz w:val="32"/>
          <w:szCs w:val="32"/>
          <w:lang w:val="en-US" w:eastAsia="zh-CN"/>
        </w:rPr>
        <w:t>住房公积金、医疗费、其他工资福利支出、邮电费、其他交通费用、离休费、生活补助、医疗费补助、奖励金、其他对个人和家庭的补助等；</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29.27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其他社会保障缴费、其他工资福利支出、</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印刷费、</w:t>
      </w:r>
      <w:r>
        <w:rPr>
          <w:rFonts w:hint="eastAsia" w:ascii="仿宋_GB2312" w:hAnsi="黑体" w:eastAsia="仿宋_GB2312"/>
          <w:sz w:val="32"/>
          <w:szCs w:val="32"/>
        </w:rPr>
        <w:t>咨询费、手续费、水费、电费、</w:t>
      </w:r>
      <w:r>
        <w:rPr>
          <w:rFonts w:hint="eastAsia" w:ascii="仿宋_GB2312" w:hAnsi="黑体" w:eastAsia="仿宋_GB2312"/>
          <w:sz w:val="32"/>
          <w:szCs w:val="32"/>
          <w:lang w:val="en-US" w:eastAsia="zh-CN"/>
        </w:rPr>
        <w:t>邮电费、物业管理费、差旅费、维修（护）费、租赁费、会议费、培训费、专用材料费、委托业务费、工会经费、公务用车运行维护费、其他商品和服务支出、生活补助、救济费、其他对个人和家庭的补助、办公设备购置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海口市卫生健康服务中心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2022年未安排人员出国（境）</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40" w:firstLineChars="200"/>
        <w:rPr>
          <w:rFonts w:ascii="仿宋_GB2312" w:hAnsi="黑体" w:eastAsia="仿宋_GB2312" w:cs="Times New Roman"/>
          <w:sz w:val="32"/>
          <w:szCs w:val="32"/>
        </w:rPr>
      </w:pPr>
    </w:p>
    <w:p>
      <w:pPr>
        <w:numPr>
          <w:ilvl w:val="0"/>
          <w:numId w:val="0"/>
        </w:numPr>
        <w:ind w:leftChars="0"/>
        <w:rPr>
          <w:rFonts w:hint="eastAsia" w:ascii="仿宋_GB2312" w:hAnsi="黑体" w:eastAsia="仿宋_GB2312"/>
          <w:sz w:val="32"/>
          <w:szCs w:val="32"/>
        </w:rPr>
      </w:pPr>
      <w:r>
        <w:rPr>
          <w:rFonts w:hint="eastAsia" w:ascii="仿宋_GB2312" w:hAnsi="黑体" w:eastAsia="仿宋_GB2312"/>
          <w:sz w:val="32"/>
          <w:szCs w:val="32"/>
          <w:lang w:val="en-US" w:eastAsia="zh-CN"/>
        </w:rPr>
        <w:t>（二）海口市卫生健康服务中心2022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numPr>
          <w:ilvl w:val="0"/>
          <w:numId w:val="0"/>
        </w:numPr>
        <w:ind w:leftChars="0"/>
        <w:rPr>
          <w:rFonts w:ascii="仿宋_GB2312" w:hAnsi="黑体" w:eastAsia="仿宋_GB2312" w:cs="Times New Roman"/>
          <w:sz w:val="32"/>
          <w:szCs w:val="32"/>
        </w:rPr>
      </w:pPr>
      <w:r>
        <w:rPr>
          <w:rFonts w:hint="eastAsia" w:ascii="仿宋_GB2312" w:hAnsi="黑体" w:eastAsia="仿宋_GB2312"/>
          <w:sz w:val="32"/>
          <w:szCs w:val="32"/>
        </w:rPr>
        <w:t>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部门</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w:t>
      </w:r>
      <w:r>
        <w:rPr>
          <w:rFonts w:hint="eastAsia" w:ascii="Times New Roman" w:hAnsi="Times New Roman" w:eastAsia="仿宋_GB2312" w:cs="Times New Roman"/>
          <w:sz w:val="32"/>
          <w:shd w:val="clear" w:color="auto" w:fill="FFFFFF"/>
          <w:lang w:val="en-US" w:eastAsia="zh-CN"/>
        </w:rPr>
        <w:t>2022年未安排人员出国（境）</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2022年无政府性基金“三公”经费预算</w:t>
      </w:r>
      <w:r>
        <w:rPr>
          <w:rFonts w:hint="eastAsia" w:ascii="仿宋_GB2312" w:hAnsi="黑体" w:eastAsia="仿宋_GB2312" w:cs="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lang w:eastAsia="zh-CN"/>
        </w:rPr>
        <w:t>（一）</w:t>
      </w:r>
      <w:r>
        <w:rPr>
          <w:rFonts w:hint="eastAsia" w:ascii="楷体" w:hAnsi="楷体" w:eastAsia="楷体"/>
          <w:sz w:val="32"/>
          <w:szCs w:val="32"/>
        </w:rPr>
        <w:t>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海口市卫生健康服务中心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与上年预算持平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2022年无政府性基金预算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hint="eastAsia"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2022年无此项政府性基金预算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2022年无此项预算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2022年无此项预算</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注：2022年无政府性基金预算。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val="en-US" w:eastAsia="zh-CN"/>
        </w:rPr>
        <w:t>海口市卫生健康服务中心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cs="仿宋_GB2312"/>
          <w:sz w:val="32"/>
          <w:szCs w:val="32"/>
          <w:lang w:val="en-US" w:eastAsia="zh-CN"/>
        </w:rPr>
        <w:t>事业收入、其他收入；</w:t>
      </w:r>
      <w:r>
        <w:rPr>
          <w:rFonts w:hint="eastAsia" w:ascii="仿宋_GB2312" w:hAnsi="黑体" w:eastAsia="仿宋_GB2312"/>
          <w:sz w:val="32"/>
          <w:szCs w:val="32"/>
        </w:rPr>
        <w:t>支出包括：外交支出、国防支出、教育支出、</w:t>
      </w:r>
      <w:r>
        <w:rPr>
          <w:rFonts w:hint="eastAsia" w:ascii="仿宋_GB2312" w:hAnsi="黑体" w:eastAsia="仿宋_GB2312"/>
          <w:sz w:val="32"/>
          <w:szCs w:val="32"/>
          <w:lang w:val="en-US" w:eastAsia="zh-CN"/>
        </w:rPr>
        <w:t>社会保障和就业支出、卫生健康支出、住房保障支出、其他支出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海口市卫生健康服务中心2022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551.88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海口市卫生健康服务中心2022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551.88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551.88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事业收入0万元，占0%；其他收入0万元，占0%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44.08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公共卫生</w:t>
      </w:r>
      <w:r>
        <w:rPr>
          <w:rFonts w:hint="eastAsia" w:ascii="仿宋_GB2312" w:hAnsi="黑体" w:eastAsia="仿宋_GB2312"/>
          <w:sz w:val="32"/>
          <w:szCs w:val="32"/>
          <w:lang w:val="en-US" w:eastAsia="zh-CN"/>
        </w:rPr>
        <w:t>项目预算和公用支出、人员经费增加。</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海口市卫生健康服务中心</w:t>
      </w:r>
      <w:r>
        <w:rPr>
          <w:rFonts w:hint="eastAsia" w:ascii="黑体" w:hAnsi="黑体" w:eastAsia="黑体" w:cs="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海口市卫生健康服务中心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551.88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351.88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63.76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200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36.24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44.08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公共卫生</w:t>
      </w:r>
      <w:r>
        <w:rPr>
          <w:rFonts w:hint="eastAsia" w:ascii="仿宋_GB2312" w:hAnsi="黑体" w:eastAsia="仿宋_GB2312"/>
          <w:sz w:val="32"/>
          <w:szCs w:val="32"/>
          <w:lang w:val="en-US" w:eastAsia="zh-CN"/>
        </w:rPr>
        <w:t>项目预算和公用支出、人员经费增加。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海口市卫生健康服务中心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，用于购买办公电脑、打</w:t>
      </w:r>
      <w:r>
        <w:rPr>
          <w:rFonts w:hint="eastAsia" w:ascii="仿宋_GB2312" w:hAnsi="黑体" w:eastAsia="仿宋_GB2312"/>
          <w:sz w:val="32"/>
          <w:szCs w:val="32"/>
          <w:lang w:val="en-US" w:eastAsia="zh-CN"/>
        </w:rPr>
        <w:t>印机。</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海口市卫生健康服务中心</w:t>
      </w:r>
      <w:r>
        <w:rPr>
          <w:rFonts w:hint="eastAsia" w:ascii="仿宋_GB2312" w:hAnsi="黑体" w:eastAsia="仿宋_GB2312" w:cs="仿宋_GB2312"/>
          <w:sz w:val="32"/>
          <w:szCs w:val="32"/>
        </w:rPr>
        <w:t>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val="en-US" w:eastAsia="zh-CN"/>
        </w:rPr>
        <w:t>应急保障用车1辆、</w:t>
      </w:r>
      <w:r>
        <w:rPr>
          <w:rFonts w:hint="eastAsia" w:ascii="仿宋_GB2312" w:hAnsi="黑体" w:eastAsia="仿宋_GB2312" w:cs="仿宋_GB2312"/>
          <w:sz w:val="32"/>
          <w:szCs w:val="32"/>
        </w:rPr>
        <w:t>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海口市卫生健康服务中心</w:t>
      </w:r>
      <w:r>
        <w:rPr>
          <w:rFonts w:hint="eastAsia" w:ascii="仿宋_GB2312" w:hAnsi="黑体" w:eastAsia="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551.88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事业收入0万元、其他收入0万元</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8A9AAA-170C-4DA0-BA86-82CCBE29737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embedRegular r:id="rId2" w:fontKey="{BE3C54ED-1B7F-427A-8FF4-17BD9C0D6B77}"/>
  </w:font>
  <w:font w:name="方正仿宋_GB2312">
    <w:panose1 w:val="02000000000000000000"/>
    <w:charset w:val="86"/>
    <w:family w:val="auto"/>
    <w:pitch w:val="default"/>
    <w:sig w:usb0="A00002BF" w:usb1="184F6CFA" w:usb2="00000012" w:usb3="00000000" w:csb0="00040001" w:csb1="00000000"/>
    <w:embedRegular r:id="rId3" w:fontKey="{2B55D6DE-5433-4A12-A9C8-7AB0C62D3738}"/>
  </w:font>
  <w:font w:name="楷体">
    <w:panose1 w:val="02010609060101010101"/>
    <w:charset w:val="86"/>
    <w:family w:val="auto"/>
    <w:pitch w:val="default"/>
    <w:sig w:usb0="800002BF" w:usb1="38CF7CFA" w:usb2="00000016" w:usb3="00000000" w:csb0="00040001" w:csb1="00000000"/>
    <w:embedRegular r:id="rId4" w:fontKey="{98145F0F-8169-4BCE-866B-E99A49055693}"/>
  </w:font>
  <w:font w:name="仿宋">
    <w:panose1 w:val="02010609060101010101"/>
    <w:charset w:val="86"/>
    <w:family w:val="auto"/>
    <w:pitch w:val="default"/>
    <w:sig w:usb0="800002BF" w:usb1="38CF7CFA" w:usb2="00000016" w:usb3="00000000" w:csb0="00040001" w:csb1="00000000"/>
    <w:embedRegular r:id="rId5" w:fontKey="{A1AE8C8A-6085-4359-A582-043A40D225F7}"/>
  </w:font>
  <w:font w:name="仿宋_GB2312">
    <w:altName w:val="仿宋"/>
    <w:panose1 w:val="00000000000000000000"/>
    <w:charset w:val="00"/>
    <w:family w:val="auto"/>
    <w:pitch w:val="default"/>
    <w:sig w:usb0="00000000" w:usb1="00000000" w:usb2="00000000" w:usb3="00000000" w:csb0="00000000" w:csb1="00000000"/>
  </w:font>
  <w:font w:name="ˎ̥">
    <w:altName w:val="华文仿宋"/>
    <w:panose1 w:val="00000000000000000000"/>
    <w:charset w:val="00"/>
    <w:family w:val="roman"/>
    <w:pitch w:val="default"/>
    <w:sig w:usb0="00000000" w:usb1="00000000" w:usb2="00000000" w:usb3="00000000" w:csb0="00040001" w:csb1="00000000"/>
    <w:embedRegular r:id="rId6" w:fontKey="{9EFE6EAC-4606-46DC-BC09-FB1ED4D5EF7E}"/>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MS Gothic">
    <w:panose1 w:val="020B0609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ernard MT Condensed">
    <w:panose1 w:val="02050806060905020404"/>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Centaur">
    <w:panose1 w:val="02030504050205020304"/>
    <w:charset w:val="00"/>
    <w:family w:val="auto"/>
    <w:pitch w:val="default"/>
    <w:sig w:usb0="00000003"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DokChampa">
    <w:panose1 w:val="020B0604020202020204"/>
    <w:charset w:val="00"/>
    <w:family w:val="auto"/>
    <w:pitch w:val="default"/>
    <w:sig w:usb0="03000003" w:usb1="00000000" w:usb2="00000000" w:usb3="00000000" w:csb0="40010001" w:csb1="00000000"/>
  </w:font>
  <w:font w:name="FrankRuehl">
    <w:panose1 w:val="020E0503060101010101"/>
    <w:charset w:val="00"/>
    <w:family w:val="auto"/>
    <w:pitch w:val="default"/>
    <w:sig w:usb0="00000801" w:usb1="00000000" w:usb2="00000000" w:usb3="00000000" w:csb0="00000020" w:csb1="00200000"/>
  </w:font>
  <w:font w:name="Gabriola">
    <w:panose1 w:val="04040605051002020D02"/>
    <w:charset w:val="00"/>
    <w:family w:val="auto"/>
    <w:pitch w:val="default"/>
    <w:sig w:usb0="E00002EF" w:usb1="5000204B" w:usb2="00000000" w:usb3="00000000" w:csb0="2000009F" w:csb1="00000000"/>
  </w:font>
  <w:font w:name="Freestyle Script">
    <w:panose1 w:val="030804020302050B0404"/>
    <w:charset w:val="00"/>
    <w:family w:val="auto"/>
    <w:pitch w:val="default"/>
    <w:sig w:usb0="00000003" w:usb1="00000000" w:usb2="00000000" w:usb3="00000000" w:csb0="20000001" w:csb1="00000000"/>
  </w:font>
  <w:font w:name="AngsanaUPC">
    <w:panose1 w:val="02020603050405020304"/>
    <w:charset w:val="00"/>
    <w:family w:val="auto"/>
    <w:pitch w:val="default"/>
    <w:sig w:usb0="81000003" w:usb1="00000000" w:usb2="00000000" w:usb3="00000000" w:csb0="0001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8A45F4"/>
    <w:multiLevelType w:val="singleLevel"/>
    <w:tmpl w:val="A88A45F4"/>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lYzJlZTRlM2Q4ZDA0OTMyNDlhZDJmNzQwYzhlMTkifQ=="/>
  </w:docVars>
  <w:rsids>
    <w:rsidRoot w:val="295A21D2"/>
    <w:rsid w:val="00DE21EB"/>
    <w:rsid w:val="041A38B0"/>
    <w:rsid w:val="04275653"/>
    <w:rsid w:val="08E31AEF"/>
    <w:rsid w:val="093F0D49"/>
    <w:rsid w:val="0C751EA3"/>
    <w:rsid w:val="0E3F5699"/>
    <w:rsid w:val="130A2AA7"/>
    <w:rsid w:val="14FC5BE7"/>
    <w:rsid w:val="17864768"/>
    <w:rsid w:val="189D783A"/>
    <w:rsid w:val="1EBB5C03"/>
    <w:rsid w:val="1FCB3953"/>
    <w:rsid w:val="24E75498"/>
    <w:rsid w:val="25294D17"/>
    <w:rsid w:val="270A3972"/>
    <w:rsid w:val="270F2EEA"/>
    <w:rsid w:val="295A21D2"/>
    <w:rsid w:val="2B93307B"/>
    <w:rsid w:val="2D6F36BE"/>
    <w:rsid w:val="2FD05E5F"/>
    <w:rsid w:val="357E727F"/>
    <w:rsid w:val="3612105F"/>
    <w:rsid w:val="37FD12B5"/>
    <w:rsid w:val="3B9C1EA7"/>
    <w:rsid w:val="3F177787"/>
    <w:rsid w:val="40181E46"/>
    <w:rsid w:val="44414C0B"/>
    <w:rsid w:val="458501E8"/>
    <w:rsid w:val="462574F3"/>
    <w:rsid w:val="47902B66"/>
    <w:rsid w:val="482E2F55"/>
    <w:rsid w:val="49E54986"/>
    <w:rsid w:val="4BA95F1B"/>
    <w:rsid w:val="4D340979"/>
    <w:rsid w:val="4DBB5461"/>
    <w:rsid w:val="557C376B"/>
    <w:rsid w:val="56C207CE"/>
    <w:rsid w:val="56EF4FC6"/>
    <w:rsid w:val="58D520FD"/>
    <w:rsid w:val="5CB65308"/>
    <w:rsid w:val="60453D18"/>
    <w:rsid w:val="608F34D9"/>
    <w:rsid w:val="6A385A48"/>
    <w:rsid w:val="6DCE0310"/>
    <w:rsid w:val="6E755215"/>
    <w:rsid w:val="6F090932"/>
    <w:rsid w:val="6F3859F4"/>
    <w:rsid w:val="6FF53274"/>
    <w:rsid w:val="71B823FE"/>
    <w:rsid w:val="71C97806"/>
    <w:rsid w:val="735C3815"/>
    <w:rsid w:val="74BD37C8"/>
    <w:rsid w:val="766C2127"/>
    <w:rsid w:val="782F4F2E"/>
    <w:rsid w:val="797A2B86"/>
    <w:rsid w:val="7A7F2831"/>
    <w:rsid w:val="7B515B18"/>
    <w:rsid w:val="7F720B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2022-03-18T07:55:00Z</dcterms:created>
  <dc:creator>Dandelion</dc:creator>
  <cp:lastModifiedBy>Dandelion</cp:lastModifiedBy>
  <dcterms:modified xsi:type="dcterms:W3CDTF">2023-07-18T03:18:13Z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E8132EB693894DAA8EE7EC31405EABAB</vt:lpwstr>
  </property>
</Properties>
</file>