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val="en-US" w:eastAsia="zh-CN"/>
        </w:rPr>
        <w:t>海口市老龄工作委员会办公室</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lang w:val="en-US" w:eastAsia="zh-CN"/>
        </w:rPr>
        <w:t>2021</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海口市老龄工作委员会办公室（单位）2021</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ind w:leftChars="0"/>
        <w:jc w:val="left"/>
        <w:rPr>
          <w:rFonts w:ascii="仿宋_GB2312" w:hAnsi="仿宋_GB2312" w:eastAsia="仿宋_GB2312" w:cs="仿宋_GB2312"/>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（一）贯彻执行党和国家有关老龄工作的方针政策以及《中华人民共和国老年人权益保障法》等法律、法规，拟定全市老龄事业发展计划和年度工作计划，维护老年人的合法权益；</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（二）依据《海南省实施＜中华人民共和国老年人权益保障法＞若干规定》，负责联系，协调有关部门和组织做好老年人权益保障和服务工作，检查督促老年人权益保障法律、法规的贯彻执行；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（三）协调市老龄委员会成员单位和有关部门加强对老龄工作的宏观指导和综合管理，指导开展有利于老年人身心健康的各种活动；</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（四）具体负责《老年法》及有关老年法律、法规等贯彻落实的督促、检查工作；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（五）组织全市性老龄工作的重大活动，开展市内外老龄工作的合作与交流，开展老龄宣传、调研和总结表彰工作，指导检查和督促市、区的老龄工作；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（六）支持和发展老年福利设施，鼓励社会机构兴办老年福利事业；</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（七）承办上级部门交办的其他工作。</w:t>
      </w:r>
    </w:p>
    <w:p>
      <w:pPr>
        <w:ind w:firstLine="640" w:firstLineChars="200"/>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海口市老龄工作委员会办公室（单位）2021</w:t>
      </w:r>
      <w:r>
        <w:rPr>
          <w:rFonts w:hint="eastAsia" w:ascii="黑体" w:hAnsi="黑体" w:eastAsia="黑体" w:cs="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800" w:firstLineChars="250"/>
        <w:rPr>
          <w:rFonts w:hint="eastAsia" w:ascii="黑体" w:hAnsi="黑体" w:eastAsia="黑体" w:cs="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海口市老龄工作委员会办公室（单位）2021</w:t>
      </w:r>
      <w:r>
        <w:rPr>
          <w:rFonts w:hint="eastAsia" w:ascii="黑体" w:hAnsi="黑体" w:eastAsia="黑体" w:cs="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海口市老龄工作委员会办公室（单位）2021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224.94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224.94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224.94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224.94</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社会保障和就业支出23.70万元、卫生健康支出191.88万元、住房保障支出9.36万元，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海口市老龄工作委员会办公室（单位）2021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224.94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28.74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单位人员</w:t>
      </w:r>
      <w:r>
        <w:rPr>
          <w:rFonts w:hint="eastAsia" w:ascii="仿宋_GB2312" w:hAnsi="黑体" w:eastAsia="仿宋_GB2312"/>
          <w:color w:val="auto"/>
          <w:sz w:val="32"/>
          <w:szCs w:val="32"/>
          <w:lang w:val="en-US" w:eastAsia="zh-CN"/>
        </w:rPr>
        <w:t>增加</w:t>
      </w:r>
      <w:bookmarkStart w:id="0" w:name="_GoBack"/>
      <w:bookmarkEnd w:id="0"/>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val="en-US" w:eastAsia="zh-CN"/>
        </w:rPr>
        <w:t>社会保障和就业（类）支出23.70万元，占10.54%；卫生健康（类）支出191.88万元，占85.30%；住房保障（类）支出9.36万元，占4.16%。</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 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8.61</w:t>
      </w:r>
      <w:r>
        <w:rPr>
          <w:rFonts w:hint="eastAsia" w:ascii="仿宋_GB2312" w:hAnsi="黑体" w:eastAsia="仿宋_GB2312"/>
          <w:sz w:val="32"/>
          <w:szCs w:val="32"/>
        </w:rPr>
        <w:t>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事业单位人员</w:t>
      </w:r>
      <w:r>
        <w:rPr>
          <w:rFonts w:hint="eastAsia" w:ascii="仿宋_GB2312" w:hAnsi="黑体" w:eastAsia="仿宋_GB2312"/>
          <w:color w:val="auto"/>
          <w:sz w:val="32"/>
          <w:szCs w:val="32"/>
          <w:lang w:val="en-US" w:eastAsia="zh-CN"/>
        </w:rPr>
        <w:t>增加；</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3.98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增加0.13</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退休人员增加。</w:t>
      </w:r>
      <w:r>
        <w:rPr>
          <w:rFonts w:hint="eastAsia" w:ascii="仿宋_GB2312" w:hAnsi="黑体" w:eastAsia="仿宋_GB2312"/>
          <w:color w:val="auto"/>
          <w:sz w:val="32"/>
          <w:szCs w:val="32"/>
          <w:lang w:val="en-US" w:eastAsia="zh-CN"/>
        </w:rPr>
        <w:t xml:space="preserve">              </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（款）事业单位医疗（项）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10.48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增加4.58</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000000" w:themeColor="text1"/>
          <w:sz w:val="32"/>
          <w:szCs w:val="32"/>
          <w:lang w:val="en-US" w:eastAsia="zh-CN"/>
          <w14:textFill>
            <w14:solidFill>
              <w14:schemeClr w14:val="tx1"/>
            </w14:solidFill>
          </w14:textFill>
        </w:rPr>
        <w:t>事业单位人员增加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（款）其他行政事业单位医疗支出（项）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8.48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增加1.78</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体检人员</w:t>
      </w:r>
      <w:r>
        <w:rPr>
          <w:rFonts w:hint="eastAsia" w:ascii="仿宋_GB2312" w:hAnsi="黑体" w:eastAsia="仿宋_GB2312"/>
          <w:color w:val="auto"/>
          <w:sz w:val="32"/>
          <w:szCs w:val="32"/>
          <w:lang w:val="en-US" w:eastAsia="zh-CN"/>
        </w:rPr>
        <w:t>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（款）老龄卫生健康事务（项）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172.92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增加11.48</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我办基本经费增加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9.36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增加2.16</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住房公积基数上调</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海口市老龄工作委员会办公室（单位）2021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174.94</w:t>
      </w:r>
      <w:r>
        <w:rPr>
          <w:rFonts w:hint="eastAsia" w:ascii="仿宋_GB2312" w:hAnsi="黑体" w:eastAsia="仿宋_GB2312"/>
          <w:sz w:val="32"/>
          <w:szCs w:val="32"/>
        </w:rPr>
        <w:t>万元，其中：</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161.25</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绩效工资、机关事业单位基本养老保险缴费、城镇职工基本医疗保险缴费、公务员医疗补助缴费、其他社会保障缴费、住房公积金、医疗费、其他工资福利支出、邮电费、医疗费补助、奖励金。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13.69</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手续费、</w:t>
      </w:r>
      <w:r>
        <w:rPr>
          <w:rFonts w:hint="eastAsia" w:ascii="仿宋_GB2312" w:hAnsi="黑体" w:eastAsia="仿宋_GB2312"/>
          <w:sz w:val="32"/>
          <w:szCs w:val="32"/>
          <w:lang w:val="en-US" w:eastAsia="zh-CN"/>
        </w:rPr>
        <w:t>邮电费、差旅费、培训费、委托业务费、工会经费、其他商品和服务支出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海口市老龄工作委员会办公室（单位）2021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0.3</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2021年无政府性基金“三公”经费预算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海口市老龄工作委员会办公室（单位）2021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2021年无政府性基金预算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2021年无此项政府性基金预算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2021年无此项预算</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注：2021年无政府性基金预算。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海口市老龄工作委员会办公室（单位）2021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cs="仿宋_GB2312"/>
          <w:sz w:val="32"/>
          <w:szCs w:val="32"/>
          <w:lang w:val="en-US" w:eastAsia="zh-CN"/>
        </w:rPr>
        <w:t>上级补助收入、附属单位上缴收入、事业单位经营收入、其他收入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val="en-US"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海口市老龄工作委员会办公室（单位）2021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224.94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海口市老龄工作委员会办公室（单位）</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224.94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224.94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事业收入0万元，占0%；其他收入0万元，占0%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28.74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人员经费，我办去年调入</w:t>
      </w:r>
      <w:r>
        <w:rPr>
          <w:rFonts w:hint="eastAsia" w:ascii="仿宋_GB2312" w:hAnsi="黑体" w:eastAsia="仿宋_GB2312"/>
          <w:sz w:val="32"/>
          <w:szCs w:val="32"/>
          <w:lang w:val="en-US" w:eastAsia="zh-CN"/>
        </w:rPr>
        <w:t>2</w:t>
      </w:r>
      <w:r>
        <w:rPr>
          <w:rFonts w:hint="eastAsia" w:ascii="仿宋_GB2312" w:hAnsi="黑体" w:eastAsia="仿宋_GB2312"/>
          <w:sz w:val="32"/>
          <w:szCs w:val="32"/>
          <w:lang w:eastAsia="zh-CN"/>
        </w:rPr>
        <w:t>名人员</w:t>
      </w:r>
      <w:r>
        <w:rPr>
          <w:rFonts w:hint="eastAsia" w:ascii="仿宋_GB2312" w:hAnsi="黑体" w:eastAsia="仿宋_GB2312"/>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海口市老龄工作委员会办公室（单位）</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224.94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174.94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77.77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22.23</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28.74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人员经费，我办去年调入</w:t>
      </w:r>
      <w:r>
        <w:rPr>
          <w:rFonts w:hint="eastAsia" w:ascii="仿宋_GB2312" w:hAnsi="黑体" w:eastAsia="仿宋_GB2312"/>
          <w:sz w:val="32"/>
          <w:szCs w:val="32"/>
          <w:lang w:val="en-US" w:eastAsia="zh-CN"/>
        </w:rPr>
        <w:t>2</w:t>
      </w:r>
      <w:r>
        <w:rPr>
          <w:rFonts w:hint="eastAsia" w:ascii="仿宋_GB2312" w:hAnsi="黑体" w:eastAsia="仿宋_GB2312"/>
          <w:sz w:val="32"/>
          <w:szCs w:val="32"/>
          <w:lang w:eastAsia="zh-CN"/>
        </w:rPr>
        <w:t>名人员</w:t>
      </w:r>
      <w:r>
        <w:rPr>
          <w:rFonts w:hint="eastAsia" w:ascii="仿宋_GB2312" w:hAnsi="黑体" w:eastAsia="仿宋_GB2312"/>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cs="仿宋_GB2312"/>
          <w:sz w:val="32"/>
          <w:szCs w:val="32"/>
        </w:rPr>
        <w:t>机关运行经费预算13.69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应急保障用车0辆、</w:t>
      </w:r>
      <w:r>
        <w:rPr>
          <w:rFonts w:hint="eastAsia" w:ascii="仿宋_GB2312" w:hAnsi="黑体" w:eastAsia="仿宋_GB2312" w:cs="仿宋_GB2312"/>
          <w:sz w:val="32"/>
          <w:szCs w:val="32"/>
        </w:rPr>
        <w:t>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海口市老龄工作委员会办公室（单位）10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224.94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事业收入0万元、其他收入0万元</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7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15817"/>
    <w:rsid w:val="017418B0"/>
    <w:rsid w:val="02356A40"/>
    <w:rsid w:val="02575778"/>
    <w:rsid w:val="0272157D"/>
    <w:rsid w:val="03955435"/>
    <w:rsid w:val="04144434"/>
    <w:rsid w:val="04170DEB"/>
    <w:rsid w:val="053B6B9B"/>
    <w:rsid w:val="05954ADE"/>
    <w:rsid w:val="05A645FF"/>
    <w:rsid w:val="079646E3"/>
    <w:rsid w:val="09411400"/>
    <w:rsid w:val="096D37FB"/>
    <w:rsid w:val="0AA34296"/>
    <w:rsid w:val="0AE75815"/>
    <w:rsid w:val="0AF212B7"/>
    <w:rsid w:val="0C235A27"/>
    <w:rsid w:val="0C722192"/>
    <w:rsid w:val="0CAB2234"/>
    <w:rsid w:val="0CE324DA"/>
    <w:rsid w:val="0D2D0015"/>
    <w:rsid w:val="0D58660A"/>
    <w:rsid w:val="0D8E0CAF"/>
    <w:rsid w:val="0D9206EC"/>
    <w:rsid w:val="0EC27465"/>
    <w:rsid w:val="0F0E2799"/>
    <w:rsid w:val="112D7A8D"/>
    <w:rsid w:val="118B0BFD"/>
    <w:rsid w:val="11F90D66"/>
    <w:rsid w:val="12054EE3"/>
    <w:rsid w:val="124333E0"/>
    <w:rsid w:val="14AD71C2"/>
    <w:rsid w:val="15252CDE"/>
    <w:rsid w:val="156B0550"/>
    <w:rsid w:val="15B74B4C"/>
    <w:rsid w:val="15F069B2"/>
    <w:rsid w:val="178B393E"/>
    <w:rsid w:val="178B5435"/>
    <w:rsid w:val="17B7121E"/>
    <w:rsid w:val="17DC239E"/>
    <w:rsid w:val="17F81EE7"/>
    <w:rsid w:val="180C0030"/>
    <w:rsid w:val="193378A1"/>
    <w:rsid w:val="1A386AC2"/>
    <w:rsid w:val="1AE55868"/>
    <w:rsid w:val="1B1F4AC6"/>
    <w:rsid w:val="1B397169"/>
    <w:rsid w:val="1B5A58E1"/>
    <w:rsid w:val="1BAC0448"/>
    <w:rsid w:val="1C343BD0"/>
    <w:rsid w:val="1C3A53FB"/>
    <w:rsid w:val="1DA51A63"/>
    <w:rsid w:val="1EEE7CAD"/>
    <w:rsid w:val="1EFE4734"/>
    <w:rsid w:val="1F495746"/>
    <w:rsid w:val="1FA153D5"/>
    <w:rsid w:val="20D2725E"/>
    <w:rsid w:val="20FA0197"/>
    <w:rsid w:val="20FC4970"/>
    <w:rsid w:val="21A85971"/>
    <w:rsid w:val="21B91DDB"/>
    <w:rsid w:val="21D12CDF"/>
    <w:rsid w:val="236D311A"/>
    <w:rsid w:val="241B48DF"/>
    <w:rsid w:val="24800259"/>
    <w:rsid w:val="24FB1131"/>
    <w:rsid w:val="264F5BB9"/>
    <w:rsid w:val="26DF24B1"/>
    <w:rsid w:val="294C3E5A"/>
    <w:rsid w:val="2A890F6F"/>
    <w:rsid w:val="2AA80896"/>
    <w:rsid w:val="2B102CDC"/>
    <w:rsid w:val="2C6A3139"/>
    <w:rsid w:val="2D5C5E15"/>
    <w:rsid w:val="2D7939DD"/>
    <w:rsid w:val="2DC11508"/>
    <w:rsid w:val="2E27021D"/>
    <w:rsid w:val="2E791C74"/>
    <w:rsid w:val="2E8C7B34"/>
    <w:rsid w:val="2F2B7B16"/>
    <w:rsid w:val="2FA509D6"/>
    <w:rsid w:val="346B27B3"/>
    <w:rsid w:val="34C21350"/>
    <w:rsid w:val="35234B7F"/>
    <w:rsid w:val="36A9667E"/>
    <w:rsid w:val="37641127"/>
    <w:rsid w:val="387B1D63"/>
    <w:rsid w:val="39616BE1"/>
    <w:rsid w:val="3A282D4F"/>
    <w:rsid w:val="3A7816F0"/>
    <w:rsid w:val="3B7003DB"/>
    <w:rsid w:val="3C134082"/>
    <w:rsid w:val="3C38581E"/>
    <w:rsid w:val="3C3A6BF9"/>
    <w:rsid w:val="3F163EDD"/>
    <w:rsid w:val="40725E8E"/>
    <w:rsid w:val="41EB3B5B"/>
    <w:rsid w:val="421754B8"/>
    <w:rsid w:val="43E8554A"/>
    <w:rsid w:val="43EF2A5D"/>
    <w:rsid w:val="44345F09"/>
    <w:rsid w:val="44B72312"/>
    <w:rsid w:val="46110DD5"/>
    <w:rsid w:val="46450BF2"/>
    <w:rsid w:val="480B1F3A"/>
    <w:rsid w:val="48AB5F5E"/>
    <w:rsid w:val="493760AC"/>
    <w:rsid w:val="493E2C68"/>
    <w:rsid w:val="49D7169A"/>
    <w:rsid w:val="49E75E21"/>
    <w:rsid w:val="4A591FF4"/>
    <w:rsid w:val="4A992958"/>
    <w:rsid w:val="4AA6180B"/>
    <w:rsid w:val="4AE40A9C"/>
    <w:rsid w:val="4C070E28"/>
    <w:rsid w:val="4C197DB6"/>
    <w:rsid w:val="4C21352A"/>
    <w:rsid w:val="4C780954"/>
    <w:rsid w:val="4D057576"/>
    <w:rsid w:val="4D3F7039"/>
    <w:rsid w:val="4D9C40D5"/>
    <w:rsid w:val="4E740697"/>
    <w:rsid w:val="5068074E"/>
    <w:rsid w:val="514E08EE"/>
    <w:rsid w:val="525C2212"/>
    <w:rsid w:val="52E972EC"/>
    <w:rsid w:val="53CD2A66"/>
    <w:rsid w:val="54D77667"/>
    <w:rsid w:val="55430396"/>
    <w:rsid w:val="559811DB"/>
    <w:rsid w:val="564D6987"/>
    <w:rsid w:val="56883CB5"/>
    <w:rsid w:val="57A95103"/>
    <w:rsid w:val="58923A8B"/>
    <w:rsid w:val="5A206464"/>
    <w:rsid w:val="5A6E5BFA"/>
    <w:rsid w:val="5A7559B6"/>
    <w:rsid w:val="5AAE3FCC"/>
    <w:rsid w:val="5C5264E4"/>
    <w:rsid w:val="5C664A0A"/>
    <w:rsid w:val="5DA11F85"/>
    <w:rsid w:val="5EAF222F"/>
    <w:rsid w:val="5F066A99"/>
    <w:rsid w:val="5F971F1F"/>
    <w:rsid w:val="5FF960CC"/>
    <w:rsid w:val="60656812"/>
    <w:rsid w:val="60A81E25"/>
    <w:rsid w:val="618162E5"/>
    <w:rsid w:val="64592979"/>
    <w:rsid w:val="64A06E75"/>
    <w:rsid w:val="65716F0C"/>
    <w:rsid w:val="660A3667"/>
    <w:rsid w:val="6759364F"/>
    <w:rsid w:val="679E73ED"/>
    <w:rsid w:val="67C05B7B"/>
    <w:rsid w:val="685B4FB0"/>
    <w:rsid w:val="694302EF"/>
    <w:rsid w:val="69DE6A95"/>
    <w:rsid w:val="6A7215F9"/>
    <w:rsid w:val="6AED348A"/>
    <w:rsid w:val="6B33313E"/>
    <w:rsid w:val="6C1E7AFA"/>
    <w:rsid w:val="6C9A5C36"/>
    <w:rsid w:val="6CB07A85"/>
    <w:rsid w:val="6D48055D"/>
    <w:rsid w:val="6D5D7C8F"/>
    <w:rsid w:val="6D917104"/>
    <w:rsid w:val="6DB26798"/>
    <w:rsid w:val="6DDC6BA8"/>
    <w:rsid w:val="6EA63A9C"/>
    <w:rsid w:val="6FF15AF6"/>
    <w:rsid w:val="70274861"/>
    <w:rsid w:val="70873E00"/>
    <w:rsid w:val="71CC7824"/>
    <w:rsid w:val="73E24C0F"/>
    <w:rsid w:val="74524A44"/>
    <w:rsid w:val="751548AC"/>
    <w:rsid w:val="753108BF"/>
    <w:rsid w:val="75A75847"/>
    <w:rsid w:val="761C469E"/>
    <w:rsid w:val="7632706E"/>
    <w:rsid w:val="76423EBD"/>
    <w:rsid w:val="77C91431"/>
    <w:rsid w:val="78054B62"/>
    <w:rsid w:val="78AF26A4"/>
    <w:rsid w:val="793B75F8"/>
    <w:rsid w:val="7C4D7568"/>
    <w:rsid w:val="7D107329"/>
    <w:rsid w:val="7EC961D5"/>
    <w:rsid w:val="7ED17C2A"/>
    <w:rsid w:val="7F416D0A"/>
    <w:rsid w:val="7FF00D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cp:lastModifiedBy>
  <dcterms:modified xsi:type="dcterms:W3CDTF">2021-03-17T02:34:59Z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